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A9260" w14:textId="77777777"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1E9A92F4" wp14:editId="1E9A92F5">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w14:anchorId="1E9A9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pt;height:97pt" o:ole="">
            <v:imagedata r:id="rId12" o:title=""/>
          </v:shape>
          <o:OLEObject Type="Embed" ProgID="Imaging.Document" ShapeID="_x0000_i1025" DrawAspect="Content" ObjectID="_1658904815" r:id="rId13"/>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14:paraId="1E9A9261" w14:textId="77777777"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14:paraId="1E9A9262" w14:textId="77777777"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1418"/>
      </w:tblGrid>
      <w:tr w:rsidR="001F515A" w:rsidRPr="001F515A" w14:paraId="1E9A9271" w14:textId="77777777" w:rsidTr="00ED20C9">
        <w:tc>
          <w:tcPr>
            <w:tcW w:w="1908" w:type="dxa"/>
          </w:tcPr>
          <w:p w14:paraId="1E9A9263" w14:textId="77777777" w:rsid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14:paraId="3332EAA9" w14:textId="43612904" w:rsidR="007869C7" w:rsidRPr="007869C7" w:rsidRDefault="007869C7" w:rsidP="001F515A">
            <w:pPr>
              <w:rPr>
                <w:rFonts w:ascii="Arial" w:hAnsi="Arial" w:cs="Arial"/>
                <w:bCs/>
                <w:szCs w:val="20"/>
                <w:lang w:eastAsia="en-US"/>
              </w:rPr>
            </w:pPr>
            <w:r w:rsidRPr="007869C7">
              <w:rPr>
                <w:rFonts w:ascii="Arial" w:hAnsi="Arial" w:cs="Arial"/>
                <w:bCs/>
                <w:szCs w:val="20"/>
                <w:lang w:eastAsia="en-US"/>
              </w:rPr>
              <w:t xml:space="preserve">Regulatory Services and Community Safety </w:t>
            </w:r>
          </w:p>
          <w:p w14:paraId="1E9A9264" w14:textId="77777777" w:rsidR="001F515A" w:rsidRPr="001F515A" w:rsidRDefault="001F515A" w:rsidP="008878A1">
            <w:pPr>
              <w:rPr>
                <w:rFonts w:ascii="Arial" w:hAnsi="Arial" w:cs="Arial"/>
                <w:b/>
                <w:bCs/>
                <w:szCs w:val="20"/>
                <w:lang w:eastAsia="en-US"/>
              </w:rPr>
            </w:pPr>
          </w:p>
        </w:tc>
        <w:tc>
          <w:tcPr>
            <w:tcW w:w="610" w:type="dxa"/>
          </w:tcPr>
          <w:p w14:paraId="1E9A9265" w14:textId="77777777" w:rsidR="001F515A" w:rsidRPr="001F515A" w:rsidRDefault="001F515A" w:rsidP="001F515A">
            <w:pPr>
              <w:rPr>
                <w:rFonts w:ascii="Arial" w:hAnsi="Arial" w:cs="Arial"/>
                <w:b/>
                <w:bCs/>
                <w:szCs w:val="20"/>
                <w:lang w:eastAsia="en-US"/>
              </w:rPr>
            </w:pPr>
          </w:p>
        </w:tc>
        <w:tc>
          <w:tcPr>
            <w:tcW w:w="1701" w:type="dxa"/>
            <w:gridSpan w:val="2"/>
          </w:tcPr>
          <w:p w14:paraId="1E9A9266"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14:paraId="1E9A9267" w14:textId="3C073A8F" w:rsidR="001F515A" w:rsidRPr="007869C7" w:rsidRDefault="007869C7" w:rsidP="001F515A">
            <w:pPr>
              <w:rPr>
                <w:rFonts w:ascii="Arial" w:hAnsi="Arial" w:cs="Arial"/>
                <w:bCs/>
                <w:szCs w:val="20"/>
                <w:lang w:eastAsia="en-US"/>
              </w:rPr>
            </w:pPr>
            <w:r w:rsidRPr="007869C7">
              <w:rPr>
                <w:rFonts w:ascii="Arial" w:hAnsi="Arial" w:cs="Arial"/>
                <w:bCs/>
                <w:szCs w:val="20"/>
                <w:lang w:eastAsia="en-US"/>
              </w:rPr>
              <w:t xml:space="preserve">HMO Enforcement Team </w:t>
            </w:r>
          </w:p>
          <w:p w14:paraId="1E9A9268" w14:textId="77777777" w:rsidR="001F515A" w:rsidRPr="001F515A" w:rsidRDefault="001F515A" w:rsidP="001F515A">
            <w:pPr>
              <w:rPr>
                <w:rFonts w:ascii="Arial" w:hAnsi="Arial" w:cs="Arial"/>
                <w:b/>
                <w:bCs/>
                <w:szCs w:val="20"/>
                <w:lang w:eastAsia="en-US"/>
              </w:rPr>
            </w:pPr>
          </w:p>
        </w:tc>
        <w:tc>
          <w:tcPr>
            <w:tcW w:w="1829" w:type="dxa"/>
            <w:gridSpan w:val="2"/>
          </w:tcPr>
          <w:p w14:paraId="1E9A9269" w14:textId="77777777" w:rsid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14:paraId="7C5E4A6D" w14:textId="458662F7" w:rsidR="007869C7" w:rsidRPr="007869C7" w:rsidRDefault="007869C7" w:rsidP="001F515A">
            <w:pPr>
              <w:rPr>
                <w:rFonts w:ascii="Arial" w:hAnsi="Arial" w:cs="Arial"/>
                <w:bCs/>
                <w:szCs w:val="20"/>
                <w:lang w:eastAsia="en-US"/>
              </w:rPr>
            </w:pPr>
            <w:r w:rsidRPr="007869C7">
              <w:rPr>
                <w:rFonts w:ascii="Arial" w:hAnsi="Arial" w:cs="Arial"/>
                <w:bCs/>
                <w:szCs w:val="20"/>
                <w:lang w:eastAsia="en-US"/>
              </w:rPr>
              <w:t>6</w:t>
            </w:r>
            <w:r w:rsidRPr="007869C7">
              <w:rPr>
                <w:rFonts w:ascii="Arial" w:hAnsi="Arial" w:cs="Arial"/>
                <w:bCs/>
                <w:szCs w:val="20"/>
                <w:vertAlign w:val="superscript"/>
                <w:lang w:eastAsia="en-US"/>
              </w:rPr>
              <w:t>th</w:t>
            </w:r>
            <w:r w:rsidRPr="007869C7">
              <w:rPr>
                <w:rFonts w:ascii="Arial" w:hAnsi="Arial" w:cs="Arial"/>
                <w:bCs/>
                <w:szCs w:val="20"/>
                <w:lang w:eastAsia="en-US"/>
              </w:rPr>
              <w:t xml:space="preserve"> April 2020</w:t>
            </w:r>
          </w:p>
          <w:p w14:paraId="1E9A926A" w14:textId="77777777" w:rsidR="001F515A" w:rsidRPr="001F515A" w:rsidRDefault="001F515A" w:rsidP="008878A1">
            <w:pPr>
              <w:rPr>
                <w:rFonts w:ascii="Arial" w:hAnsi="Arial" w:cs="Arial"/>
                <w:b/>
                <w:bCs/>
                <w:szCs w:val="20"/>
                <w:lang w:eastAsia="en-US"/>
              </w:rPr>
            </w:pPr>
          </w:p>
        </w:tc>
        <w:tc>
          <w:tcPr>
            <w:tcW w:w="3558" w:type="dxa"/>
            <w:gridSpan w:val="3"/>
          </w:tcPr>
          <w:p w14:paraId="1E9A926B"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14:paraId="1E9A926C" w14:textId="4F8F72D9" w:rsidR="001F515A" w:rsidRPr="007869C7" w:rsidRDefault="007869C7" w:rsidP="001F515A">
            <w:pPr>
              <w:rPr>
                <w:rFonts w:ascii="Arial" w:hAnsi="Arial" w:cs="Arial"/>
                <w:bCs/>
                <w:szCs w:val="20"/>
                <w:lang w:eastAsia="en-US"/>
              </w:rPr>
            </w:pPr>
            <w:r w:rsidRPr="007869C7">
              <w:rPr>
                <w:rFonts w:ascii="Arial" w:hAnsi="Arial" w:cs="Arial"/>
                <w:bCs/>
                <w:szCs w:val="20"/>
                <w:lang w:eastAsia="en-US"/>
              </w:rPr>
              <w:t xml:space="preserve">Gail Siddall </w:t>
            </w:r>
          </w:p>
          <w:p w14:paraId="1E9A926D" w14:textId="77777777" w:rsidR="001F515A" w:rsidRPr="001F515A" w:rsidRDefault="001F515A" w:rsidP="001F515A">
            <w:pPr>
              <w:rPr>
                <w:rFonts w:ascii="Arial" w:hAnsi="Arial" w:cs="Arial"/>
                <w:b/>
                <w:bCs/>
                <w:szCs w:val="20"/>
                <w:lang w:eastAsia="en-US"/>
              </w:rPr>
            </w:pPr>
          </w:p>
        </w:tc>
        <w:tc>
          <w:tcPr>
            <w:tcW w:w="5528" w:type="dxa"/>
            <w:gridSpan w:val="3"/>
          </w:tcPr>
          <w:p w14:paraId="1E9A926E"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14:paraId="1E9A926F" w14:textId="77777777" w:rsidR="001F515A" w:rsidRPr="001F515A" w:rsidRDefault="001F515A" w:rsidP="001F515A">
            <w:pPr>
              <w:rPr>
                <w:rFonts w:ascii="Arial" w:hAnsi="Arial" w:cs="Arial"/>
                <w:b/>
                <w:bCs/>
                <w:szCs w:val="20"/>
                <w:lang w:eastAsia="en-US"/>
              </w:rPr>
            </w:pPr>
          </w:p>
          <w:p w14:paraId="1E9A9270" w14:textId="77777777" w:rsidR="001F515A" w:rsidRPr="001F515A" w:rsidRDefault="001F515A" w:rsidP="002C293A">
            <w:pPr>
              <w:ind w:left="360"/>
              <w:rPr>
                <w:rFonts w:ascii="Arial" w:hAnsi="Arial" w:cs="Arial"/>
                <w:b/>
                <w:bCs/>
                <w:szCs w:val="20"/>
                <w:lang w:eastAsia="en-US"/>
              </w:rPr>
            </w:pPr>
          </w:p>
        </w:tc>
      </w:tr>
      <w:tr w:rsidR="001F515A" w:rsidRPr="001F515A" w14:paraId="1E9A9274" w14:textId="77777777" w:rsidTr="00ED20C9">
        <w:tc>
          <w:tcPr>
            <w:tcW w:w="4219" w:type="dxa"/>
            <w:gridSpan w:val="4"/>
          </w:tcPr>
          <w:p w14:paraId="1E9A9272" w14:textId="77777777"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14:paraId="1E9A9273" w14:textId="19827DE1" w:rsidR="001F515A" w:rsidRPr="0054009D" w:rsidRDefault="007869C7" w:rsidP="001F515A">
            <w:pPr>
              <w:rPr>
                <w:rFonts w:ascii="Arial" w:hAnsi="Arial" w:cs="Arial"/>
                <w:szCs w:val="20"/>
                <w:lang w:eastAsia="en-US"/>
              </w:rPr>
            </w:pPr>
            <w:r>
              <w:rPr>
                <w:rFonts w:ascii="Arial" w:hAnsi="Arial" w:cs="Arial"/>
                <w:szCs w:val="20"/>
                <w:lang w:eastAsia="en-US"/>
              </w:rPr>
              <w:t xml:space="preserve">Review of Additional HMO licensing scheme </w:t>
            </w:r>
          </w:p>
        </w:tc>
      </w:tr>
      <w:tr w:rsidR="0054009D" w:rsidRPr="001F515A" w14:paraId="1E9A9279" w14:textId="77777777" w:rsidTr="00ED20C9">
        <w:trPr>
          <w:trHeight w:val="96"/>
        </w:trPr>
        <w:tc>
          <w:tcPr>
            <w:tcW w:w="4219" w:type="dxa"/>
            <w:gridSpan w:val="4"/>
            <w:vMerge w:val="restart"/>
          </w:tcPr>
          <w:p w14:paraId="1E9A9275" w14:textId="77777777"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14:paraId="1E9A9276" w14:textId="77777777"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14:paraId="1E9A9277"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Disability</w:t>
            </w:r>
          </w:p>
        </w:tc>
        <w:tc>
          <w:tcPr>
            <w:tcW w:w="3827" w:type="dxa"/>
            <w:gridSpan w:val="2"/>
            <w:shd w:val="clear" w:color="auto" w:fill="auto"/>
          </w:tcPr>
          <w:p w14:paraId="1E9A9278" w14:textId="77777777"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0054009D" w:rsidRPr="001F515A" w14:paraId="1E9A927E" w14:textId="77777777" w:rsidTr="00ED20C9">
        <w:tc>
          <w:tcPr>
            <w:tcW w:w="4219" w:type="dxa"/>
            <w:gridSpan w:val="4"/>
            <w:vMerge/>
          </w:tcPr>
          <w:p w14:paraId="1E9A927A" w14:textId="77777777" w:rsidR="0054009D" w:rsidRPr="001F515A" w:rsidRDefault="0054009D" w:rsidP="001F515A">
            <w:pPr>
              <w:rPr>
                <w:rFonts w:ascii="Arial" w:hAnsi="Arial" w:cs="Arial"/>
                <w:szCs w:val="20"/>
                <w:lang w:eastAsia="en-US"/>
              </w:rPr>
            </w:pPr>
          </w:p>
        </w:tc>
        <w:tc>
          <w:tcPr>
            <w:tcW w:w="3544" w:type="dxa"/>
            <w:gridSpan w:val="3"/>
            <w:shd w:val="clear" w:color="auto" w:fill="auto"/>
          </w:tcPr>
          <w:p w14:paraId="1E9A927B"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3"/>
            <w:shd w:val="clear" w:color="auto" w:fill="auto"/>
          </w:tcPr>
          <w:p w14:paraId="1E9A927C"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827" w:type="dxa"/>
            <w:gridSpan w:val="2"/>
            <w:shd w:val="clear" w:color="auto" w:fill="auto"/>
          </w:tcPr>
          <w:p w14:paraId="1E9A927D" w14:textId="77777777"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14:paraId="1E9A9283" w14:textId="77777777" w:rsidTr="00ED20C9">
        <w:tc>
          <w:tcPr>
            <w:tcW w:w="4219" w:type="dxa"/>
            <w:gridSpan w:val="4"/>
            <w:vMerge/>
          </w:tcPr>
          <w:p w14:paraId="1E9A927F" w14:textId="77777777" w:rsidR="0054009D" w:rsidRPr="001F515A" w:rsidRDefault="0054009D" w:rsidP="001F515A">
            <w:pPr>
              <w:rPr>
                <w:rFonts w:ascii="Arial" w:hAnsi="Arial" w:cs="Arial"/>
                <w:b/>
                <w:szCs w:val="20"/>
                <w:lang w:eastAsia="en-US"/>
              </w:rPr>
            </w:pPr>
          </w:p>
        </w:tc>
        <w:tc>
          <w:tcPr>
            <w:tcW w:w="3544" w:type="dxa"/>
            <w:gridSpan w:val="3"/>
            <w:shd w:val="clear" w:color="auto" w:fill="auto"/>
          </w:tcPr>
          <w:p w14:paraId="1E9A9280" w14:textId="3E23DB55" w:rsidR="0054009D" w:rsidRPr="0054009D" w:rsidRDefault="0054009D" w:rsidP="001F515A">
            <w:pPr>
              <w:jc w:val="center"/>
              <w:rPr>
                <w:rFonts w:ascii="Arial" w:hAnsi="Arial" w:cs="Arial"/>
                <w:b/>
                <w:i/>
                <w:iCs/>
                <w:szCs w:val="20"/>
                <w:lang w:eastAsia="en-US"/>
              </w:rPr>
            </w:pPr>
          </w:p>
        </w:tc>
        <w:tc>
          <w:tcPr>
            <w:tcW w:w="3544" w:type="dxa"/>
            <w:gridSpan w:val="3"/>
            <w:shd w:val="clear" w:color="auto" w:fill="auto"/>
          </w:tcPr>
          <w:p w14:paraId="1E9A9281" w14:textId="00A2275F" w:rsidR="0054009D" w:rsidRPr="0054009D" w:rsidRDefault="0054009D" w:rsidP="001F515A">
            <w:pPr>
              <w:jc w:val="center"/>
              <w:rPr>
                <w:rFonts w:ascii="Arial" w:hAnsi="Arial" w:cs="Arial"/>
                <w:b/>
                <w:i/>
                <w:iCs/>
                <w:szCs w:val="20"/>
                <w:lang w:eastAsia="en-US"/>
              </w:rPr>
            </w:pPr>
          </w:p>
        </w:tc>
        <w:tc>
          <w:tcPr>
            <w:tcW w:w="3827" w:type="dxa"/>
            <w:gridSpan w:val="2"/>
            <w:shd w:val="clear" w:color="auto" w:fill="auto"/>
          </w:tcPr>
          <w:p w14:paraId="1E9A9282" w14:textId="67CD12AB" w:rsidR="0054009D" w:rsidRPr="001F515A" w:rsidRDefault="0054009D" w:rsidP="001F515A">
            <w:pPr>
              <w:jc w:val="center"/>
              <w:rPr>
                <w:rFonts w:ascii="Arial" w:hAnsi="Arial" w:cs="Arial"/>
                <w:b/>
                <w:i/>
                <w:iCs/>
                <w:szCs w:val="20"/>
                <w:lang w:eastAsia="en-US"/>
              </w:rPr>
            </w:pPr>
          </w:p>
        </w:tc>
      </w:tr>
      <w:tr w:rsidR="001F515A" w:rsidRPr="001F515A" w14:paraId="1E9A9288" w14:textId="77777777" w:rsidTr="00ED20C9">
        <w:tc>
          <w:tcPr>
            <w:tcW w:w="4219" w:type="dxa"/>
            <w:gridSpan w:val="4"/>
          </w:tcPr>
          <w:p w14:paraId="1E9A9284"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14:paraId="1E9A9285" w14:textId="77777777"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Safeguarding/ Welfare of Children and vulnerable adults</w:t>
            </w:r>
          </w:p>
        </w:tc>
        <w:tc>
          <w:tcPr>
            <w:tcW w:w="3544" w:type="dxa"/>
            <w:gridSpan w:val="3"/>
            <w:shd w:val="clear" w:color="auto" w:fill="auto"/>
          </w:tcPr>
          <w:p w14:paraId="1E9A9286" w14:textId="77777777"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Mental Wellbeing/ Community Resilience</w:t>
            </w:r>
          </w:p>
        </w:tc>
        <w:tc>
          <w:tcPr>
            <w:tcW w:w="3827" w:type="dxa"/>
            <w:gridSpan w:val="2"/>
            <w:shd w:val="clear" w:color="auto" w:fill="auto"/>
          </w:tcPr>
          <w:p w14:paraId="1E9A9287" w14:textId="77777777" w:rsidR="001F515A" w:rsidRPr="001F515A" w:rsidRDefault="001F515A" w:rsidP="001F515A">
            <w:pPr>
              <w:jc w:val="center"/>
              <w:rPr>
                <w:rFonts w:ascii="Arial" w:hAnsi="Arial" w:cs="Arial"/>
                <w:b/>
                <w:i/>
                <w:iCs/>
                <w:szCs w:val="20"/>
                <w:lang w:eastAsia="en-US"/>
              </w:rPr>
            </w:pPr>
          </w:p>
        </w:tc>
      </w:tr>
      <w:tr w:rsidR="001F515A" w:rsidRPr="001F515A" w14:paraId="1E9A928E" w14:textId="77777777" w:rsidTr="00ED20C9">
        <w:tc>
          <w:tcPr>
            <w:tcW w:w="4219" w:type="dxa"/>
            <w:gridSpan w:val="4"/>
          </w:tcPr>
          <w:p w14:paraId="1E9A9289"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14:paraId="1E9A928A" w14:textId="77777777" w:rsidR="001F515A" w:rsidRPr="001F515A" w:rsidRDefault="001F515A" w:rsidP="001F515A">
            <w:pPr>
              <w:rPr>
                <w:rFonts w:ascii="Arial" w:hAnsi="Arial" w:cs="Arial"/>
                <w:szCs w:val="20"/>
                <w:lang w:eastAsia="en-US"/>
              </w:rPr>
            </w:pPr>
          </w:p>
          <w:p w14:paraId="1E9A928B"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 xml:space="preserve">Give the background information to the policy and the perceived problems with the policy which are </w:t>
            </w:r>
            <w:r w:rsidRPr="001F515A">
              <w:rPr>
                <w:rFonts w:ascii="Arial" w:hAnsi="Arial" w:cs="Arial"/>
                <w:szCs w:val="20"/>
                <w:lang w:eastAsia="en-US"/>
              </w:rPr>
              <w:lastRenderedPageBreak/>
              <w:t>the reason for the Impact Assessment.</w:t>
            </w:r>
          </w:p>
          <w:p w14:paraId="1E9A928C" w14:textId="77777777" w:rsidR="001F515A" w:rsidRPr="001F515A" w:rsidRDefault="001F515A" w:rsidP="001F515A">
            <w:pPr>
              <w:rPr>
                <w:rFonts w:ascii="Arial" w:hAnsi="Arial" w:cs="Arial"/>
                <w:szCs w:val="20"/>
                <w:lang w:eastAsia="en-US"/>
              </w:rPr>
            </w:pPr>
          </w:p>
        </w:tc>
        <w:tc>
          <w:tcPr>
            <w:tcW w:w="10915" w:type="dxa"/>
            <w:gridSpan w:val="8"/>
          </w:tcPr>
          <w:p w14:paraId="6F3E8623" w14:textId="1A164E08" w:rsidR="007869C7" w:rsidRDefault="007869C7" w:rsidP="0006524C">
            <w:pPr>
              <w:autoSpaceDE w:val="0"/>
              <w:autoSpaceDN w:val="0"/>
              <w:adjustRightInd w:val="0"/>
              <w:rPr>
                <w:rFonts w:ascii="Arial" w:hAnsi="Arial" w:cs="Arial"/>
                <w:szCs w:val="20"/>
                <w:lang w:eastAsia="en-US"/>
              </w:rPr>
            </w:pPr>
            <w:r>
              <w:rPr>
                <w:rFonts w:ascii="Arial" w:hAnsi="Arial" w:cs="Arial"/>
                <w:szCs w:val="20"/>
                <w:lang w:eastAsia="en-US"/>
              </w:rPr>
              <w:lastRenderedPageBreak/>
              <w:t xml:space="preserve">Licensing of all HMOs in Oxford has been in operation since 2011 and following a review of the current scheme the aim is to undertake a consultation with all relevant parties on the proposal to renew the scheme for a further 5 years. </w:t>
            </w:r>
          </w:p>
          <w:p w14:paraId="1E9A928D" w14:textId="05EFE8BF" w:rsidR="00B51D02" w:rsidRPr="0006524C" w:rsidRDefault="007869C7" w:rsidP="0006524C">
            <w:pPr>
              <w:autoSpaceDE w:val="0"/>
              <w:autoSpaceDN w:val="0"/>
              <w:adjustRightInd w:val="0"/>
              <w:rPr>
                <w:rFonts w:ascii="Arial" w:hAnsi="Arial" w:cs="Arial"/>
                <w:szCs w:val="20"/>
                <w:lang w:eastAsia="en-US"/>
              </w:rPr>
            </w:pPr>
            <w:r>
              <w:rPr>
                <w:rFonts w:ascii="Arial" w:hAnsi="Arial" w:cs="Arial"/>
                <w:szCs w:val="20"/>
                <w:lang w:eastAsia="en-US"/>
              </w:rPr>
              <w:t xml:space="preserve">A statutory consultation exercise of a minimum of 10 weeks must be undertaken before the scheme can be renewed. The current scheme expires in January 2021 and failure to make a new </w:t>
            </w:r>
            <w:r>
              <w:rPr>
                <w:rFonts w:ascii="Arial" w:hAnsi="Arial" w:cs="Arial"/>
                <w:szCs w:val="20"/>
                <w:lang w:eastAsia="en-US"/>
              </w:rPr>
              <w:lastRenderedPageBreak/>
              <w:t xml:space="preserve">designation will result in some parts of the sector being regulated and some not  which could put occupiers at risk. </w:t>
            </w:r>
          </w:p>
        </w:tc>
      </w:tr>
      <w:tr w:rsidR="001F515A" w:rsidRPr="001F515A" w14:paraId="1E9A9294" w14:textId="77777777" w:rsidTr="00ED20C9">
        <w:tc>
          <w:tcPr>
            <w:tcW w:w="4219" w:type="dxa"/>
            <w:gridSpan w:val="4"/>
          </w:tcPr>
          <w:p w14:paraId="1E9A928F" w14:textId="4CACF13A"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14:paraId="1E9A9290" w14:textId="77777777" w:rsidR="001F515A" w:rsidRPr="001F515A" w:rsidRDefault="001F515A" w:rsidP="001F515A">
            <w:pPr>
              <w:rPr>
                <w:rFonts w:ascii="Arial" w:hAnsi="Arial" w:cs="Arial"/>
                <w:snapToGrid w:val="0"/>
                <w:color w:val="000000"/>
                <w:szCs w:val="20"/>
                <w:lang w:eastAsia="en-US"/>
              </w:rPr>
            </w:pPr>
          </w:p>
          <w:p w14:paraId="1E9A9291" w14:textId="77777777"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14:paraId="1E9A9292" w14:textId="77777777" w:rsidR="001F515A" w:rsidRPr="001F515A" w:rsidRDefault="001F515A" w:rsidP="001F515A">
            <w:pPr>
              <w:rPr>
                <w:rFonts w:ascii="Arial" w:hAnsi="Arial" w:cs="Arial"/>
                <w:szCs w:val="20"/>
                <w:lang w:eastAsia="en-US"/>
              </w:rPr>
            </w:pPr>
          </w:p>
        </w:tc>
        <w:tc>
          <w:tcPr>
            <w:tcW w:w="10915" w:type="dxa"/>
            <w:gridSpan w:val="8"/>
          </w:tcPr>
          <w:p w14:paraId="1E9A9293" w14:textId="55C7B09C" w:rsidR="008878A1" w:rsidRPr="00C11DF7" w:rsidRDefault="00CF210D" w:rsidP="0096520F">
            <w:pPr>
              <w:rPr>
                <w:rFonts w:ascii="Arial" w:hAnsi="Arial" w:cs="Arial"/>
                <w:szCs w:val="20"/>
                <w:lang w:eastAsia="en-US"/>
              </w:rPr>
            </w:pPr>
            <w:r>
              <w:rPr>
                <w:rFonts w:ascii="Arial" w:hAnsi="Arial" w:cs="Arial"/>
                <w:szCs w:val="20"/>
                <w:lang w:eastAsia="en-US"/>
              </w:rPr>
              <w:t>Data held on the Council’s systems has been used to identify those HM</w:t>
            </w:r>
            <w:r w:rsidR="0096520F">
              <w:rPr>
                <w:rFonts w:ascii="Arial" w:hAnsi="Arial" w:cs="Arial"/>
                <w:szCs w:val="20"/>
                <w:lang w:eastAsia="en-US"/>
              </w:rPr>
              <w:t>Os that would not require a licence if the scheme was not renewed. With the affordability of housing in Oxford continuing to rise, the private rented sector and HMOs in particular are the often the only viable option, with home ownership being unachievable for a large part of the resident population.</w:t>
            </w:r>
          </w:p>
        </w:tc>
      </w:tr>
      <w:tr w:rsidR="001F515A" w:rsidRPr="001F515A" w14:paraId="1E9A929E" w14:textId="77777777" w:rsidTr="00ED20C9">
        <w:tc>
          <w:tcPr>
            <w:tcW w:w="4219" w:type="dxa"/>
            <w:gridSpan w:val="4"/>
          </w:tcPr>
          <w:p w14:paraId="1E9A9295" w14:textId="51E1D59C"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14:paraId="1E9A9296" w14:textId="77777777" w:rsidR="001F515A" w:rsidRPr="001F515A" w:rsidRDefault="001F515A" w:rsidP="001F515A">
            <w:pPr>
              <w:rPr>
                <w:rFonts w:ascii="Arial" w:hAnsi="Arial" w:cs="Arial"/>
                <w:bCs/>
                <w:szCs w:val="20"/>
                <w:lang w:eastAsia="en-US"/>
              </w:rPr>
            </w:pPr>
          </w:p>
          <w:p w14:paraId="1E9A9297" w14:textId="77777777"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14:paraId="1E9A9298"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14:paraId="1E9A9299" w14:textId="77777777"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14:paraId="1E9A929A"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14:paraId="1E9A929B"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14:paraId="1E9A929C" w14:textId="77777777"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8"/>
          </w:tcPr>
          <w:p w14:paraId="1E9A929D" w14:textId="7F9D1F79" w:rsidR="007B0DE3" w:rsidRPr="0006524C" w:rsidRDefault="007B0DE3" w:rsidP="007B0DE3">
            <w:pPr>
              <w:rPr>
                <w:rFonts w:ascii="Arial" w:hAnsi="Arial" w:cs="Arial"/>
                <w:szCs w:val="20"/>
                <w:lang w:eastAsia="en-US"/>
              </w:rPr>
            </w:pPr>
            <w:r>
              <w:rPr>
                <w:rFonts w:ascii="Arial" w:hAnsi="Arial" w:cs="Arial"/>
                <w:szCs w:val="20"/>
                <w:lang w:eastAsia="en-US"/>
              </w:rPr>
              <w:t xml:space="preserve">If Cabinet approve the recommendations to consult upon renewing the scheme, consultation will be carried out for a minimum of 10 weeks – this consultation will be widespread and will include consultation with key stakeholders. It is proposed that the consultation is carried independently from the council. Consultation on the impact assessment has not been carried out as the proposals are still subject to approval by Cabinet. </w:t>
            </w:r>
          </w:p>
        </w:tc>
      </w:tr>
      <w:tr w:rsidR="001F515A" w:rsidRPr="001F515A" w14:paraId="1E9A92C3" w14:textId="77777777" w:rsidTr="00AC2E87">
        <w:trPr>
          <w:trHeight w:val="3761"/>
        </w:trPr>
        <w:tc>
          <w:tcPr>
            <w:tcW w:w="4219" w:type="dxa"/>
            <w:gridSpan w:val="4"/>
          </w:tcPr>
          <w:p w14:paraId="1E9A929F"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5. Assessment of Impact:</w:t>
            </w:r>
          </w:p>
          <w:p w14:paraId="1E9A92A1" w14:textId="0DB8FDB0" w:rsidR="001F515A" w:rsidRPr="001F515A" w:rsidRDefault="001F515A" w:rsidP="00AC2E87">
            <w:pPr>
              <w:rPr>
                <w:rFonts w:ascii="Arial" w:hAnsi="Arial" w:cs="Arial"/>
                <w:b/>
                <w:szCs w:val="20"/>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tc>
        <w:tc>
          <w:tcPr>
            <w:tcW w:w="10915" w:type="dxa"/>
            <w:gridSpan w:val="8"/>
          </w:tcPr>
          <w:p w14:paraId="1E9A92A2" w14:textId="252EE9C9" w:rsidR="007070ED" w:rsidRPr="001F0E7F" w:rsidRDefault="001F0E7F" w:rsidP="00262814">
            <w:pPr>
              <w:rPr>
                <w:rFonts w:ascii="Arial" w:hAnsi="Arial" w:cs="Arial"/>
                <w:szCs w:val="20"/>
                <w:lang w:eastAsia="en-US"/>
              </w:rPr>
            </w:pPr>
            <w:r w:rsidRPr="001F0E7F">
              <w:rPr>
                <w:rFonts w:ascii="Arial" w:hAnsi="Arial" w:cs="Arial"/>
                <w:szCs w:val="20"/>
                <w:lang w:eastAsia="en-US"/>
              </w:rPr>
              <w:t xml:space="preserve">The project is based on the need to fulfil national legislative requirements. The consultation must be widespread and aims to reach all those who are likely to be affected by the renewal of the scheme. Any representations will be considered and taken into account where appropriate. </w:t>
            </w:r>
          </w:p>
          <w:p w14:paraId="440B4174" w14:textId="0CD78CE7" w:rsidR="001F0E7F" w:rsidRPr="001F0E7F" w:rsidRDefault="001F0E7F" w:rsidP="00262814">
            <w:pPr>
              <w:rPr>
                <w:rFonts w:ascii="Arial" w:hAnsi="Arial" w:cs="Arial"/>
                <w:szCs w:val="20"/>
                <w:lang w:eastAsia="en-US"/>
              </w:rPr>
            </w:pPr>
            <w:r w:rsidRPr="001F0E7F">
              <w:rPr>
                <w:rFonts w:ascii="Arial" w:hAnsi="Arial" w:cs="Arial"/>
                <w:szCs w:val="20"/>
                <w:lang w:eastAsia="en-US"/>
              </w:rPr>
              <w:t xml:space="preserve">Data gathered as part of the consultation exercise will assist in informing the potential impacts on target groups such as landlords from BME groups, tenants, students and migrants. </w:t>
            </w:r>
            <w:r w:rsidR="00AC2E87">
              <w:rPr>
                <w:rFonts w:ascii="Arial" w:hAnsi="Arial" w:cs="Arial"/>
                <w:szCs w:val="20"/>
                <w:lang w:eastAsia="en-US"/>
              </w:rPr>
              <w:t xml:space="preserve">Impacts will vary across each group with young people likely to access HMOs and an increase in families and those in vulnerable groups living in HMOs, as well an estimated 25% of landlords operating HMOs in the city being from BME groups being the key considerations.  </w:t>
            </w:r>
          </w:p>
          <w:p w14:paraId="1E9A92C2" w14:textId="77777777" w:rsidR="00041903" w:rsidRPr="001F515A" w:rsidRDefault="00041903" w:rsidP="00376912">
            <w:pPr>
              <w:rPr>
                <w:rFonts w:ascii="Arial" w:hAnsi="Arial" w:cs="Arial"/>
                <w:szCs w:val="20"/>
                <w:lang w:eastAsia="en-US"/>
              </w:rPr>
            </w:pPr>
          </w:p>
        </w:tc>
      </w:tr>
      <w:tr w:rsidR="001F515A" w:rsidRPr="001F515A" w14:paraId="1E9A92CB" w14:textId="77777777" w:rsidTr="00ED20C9">
        <w:tc>
          <w:tcPr>
            <w:tcW w:w="4219" w:type="dxa"/>
            <w:gridSpan w:val="4"/>
          </w:tcPr>
          <w:p w14:paraId="1E9A92C4" w14:textId="7EDAD561" w:rsidR="001F515A" w:rsidRPr="001F515A" w:rsidRDefault="001F515A"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14:paraId="1E9A92C5" w14:textId="77777777" w:rsidR="001F515A" w:rsidRPr="001F515A" w:rsidRDefault="001F515A" w:rsidP="001F515A">
            <w:pPr>
              <w:rPr>
                <w:rFonts w:ascii="Arial" w:hAnsi="Arial" w:cs="Arial"/>
                <w:szCs w:val="20"/>
                <w:lang w:eastAsia="en-US"/>
              </w:rPr>
            </w:pPr>
          </w:p>
          <w:p w14:paraId="1E9A92C6"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14:paraId="1E9A92C7" w14:textId="77777777" w:rsidR="001F515A" w:rsidRPr="001F515A" w:rsidRDefault="001F515A" w:rsidP="001F515A">
            <w:pPr>
              <w:rPr>
                <w:rFonts w:ascii="Arial" w:hAnsi="Arial" w:cs="Arial"/>
                <w:szCs w:val="20"/>
                <w:lang w:eastAsia="en-US"/>
              </w:rPr>
            </w:pPr>
          </w:p>
        </w:tc>
        <w:tc>
          <w:tcPr>
            <w:tcW w:w="10915" w:type="dxa"/>
            <w:gridSpan w:val="8"/>
          </w:tcPr>
          <w:p w14:paraId="1E9A92C8" w14:textId="3A781703" w:rsidR="001F515A" w:rsidRDefault="00511A5C" w:rsidP="003C118C">
            <w:pPr>
              <w:rPr>
                <w:rFonts w:ascii="Arial" w:hAnsi="Arial" w:cs="Arial"/>
                <w:szCs w:val="20"/>
                <w:lang w:eastAsia="en-US"/>
              </w:rPr>
            </w:pPr>
            <w:r>
              <w:rPr>
                <w:rFonts w:ascii="Arial" w:hAnsi="Arial" w:cs="Arial"/>
                <w:szCs w:val="20"/>
                <w:lang w:eastAsia="en-US"/>
              </w:rPr>
              <w:t xml:space="preserve">The groups most likely to be affected by these proposals have been identified and a draft consultation plan has been prepared, this will be finalised before the cabinet meeting. The consultation exercise if approved, will be undertaken in accordance with the agreed plan. </w:t>
            </w:r>
          </w:p>
          <w:p w14:paraId="1E9A92C9" w14:textId="77777777" w:rsidR="003C118C" w:rsidRPr="003C118C" w:rsidRDefault="003C118C" w:rsidP="003C118C">
            <w:pPr>
              <w:rPr>
                <w:rFonts w:ascii="Arial" w:hAnsi="Arial" w:cs="Arial"/>
                <w:szCs w:val="20"/>
                <w:lang w:eastAsia="en-US"/>
              </w:rPr>
            </w:pPr>
            <w:r w:rsidRPr="003C118C">
              <w:rPr>
                <w:rFonts w:ascii="Arial" w:hAnsi="Arial" w:cs="Arial"/>
                <w:szCs w:val="20"/>
                <w:lang w:eastAsia="en-US"/>
              </w:rPr>
              <w:br/>
            </w:r>
          </w:p>
          <w:p w14:paraId="1E9A92CA" w14:textId="77777777" w:rsidR="003C118C" w:rsidRPr="001F515A" w:rsidRDefault="003C118C" w:rsidP="003C118C">
            <w:pPr>
              <w:rPr>
                <w:rFonts w:ascii="Arial" w:hAnsi="Arial" w:cs="Arial"/>
                <w:szCs w:val="20"/>
                <w:lang w:eastAsia="en-US"/>
              </w:rPr>
            </w:pPr>
          </w:p>
        </w:tc>
      </w:tr>
      <w:tr w:rsidR="001F515A" w:rsidRPr="001F515A" w14:paraId="1E9A92D1" w14:textId="77777777" w:rsidTr="00ED20C9">
        <w:trPr>
          <w:trHeight w:val="359"/>
        </w:trPr>
        <w:tc>
          <w:tcPr>
            <w:tcW w:w="4219" w:type="dxa"/>
            <w:gridSpan w:val="4"/>
          </w:tcPr>
          <w:p w14:paraId="1E9A92CC" w14:textId="77777777"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14:paraId="1E9A92CD" w14:textId="77777777" w:rsidR="001F515A" w:rsidRPr="001F515A" w:rsidRDefault="001F515A" w:rsidP="001F515A">
            <w:pPr>
              <w:rPr>
                <w:rFonts w:ascii="Arial" w:hAnsi="Arial" w:cs="Arial"/>
                <w:snapToGrid w:val="0"/>
                <w:color w:val="000000"/>
                <w:szCs w:val="20"/>
                <w:lang w:eastAsia="en-US"/>
              </w:rPr>
            </w:pPr>
          </w:p>
          <w:p w14:paraId="1E9A92CE" w14:textId="77777777"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915" w:type="dxa"/>
            <w:gridSpan w:val="8"/>
          </w:tcPr>
          <w:p w14:paraId="1E9A92CF" w14:textId="77777777" w:rsidR="009F00B3" w:rsidRDefault="009F00B3" w:rsidP="001F515A">
            <w:pPr>
              <w:rPr>
                <w:rFonts w:ascii="Arial" w:hAnsi="Arial" w:cs="Arial"/>
                <w:szCs w:val="20"/>
                <w:lang w:eastAsia="en-US"/>
              </w:rPr>
            </w:pPr>
            <w:r>
              <w:rPr>
                <w:rFonts w:ascii="Arial" w:hAnsi="Arial" w:cs="Arial"/>
                <w:szCs w:val="20"/>
                <w:lang w:eastAsia="en-US"/>
              </w:rPr>
              <w:t xml:space="preserve"> </w:t>
            </w:r>
          </w:p>
          <w:p w14:paraId="2C179965" w14:textId="58BD25A7" w:rsidR="00511A5C" w:rsidRDefault="00511A5C" w:rsidP="001F515A">
            <w:pPr>
              <w:rPr>
                <w:rFonts w:ascii="Arial" w:hAnsi="Arial" w:cs="Arial"/>
                <w:szCs w:val="20"/>
                <w:lang w:eastAsia="en-US"/>
              </w:rPr>
            </w:pPr>
            <w:r>
              <w:rPr>
                <w:rFonts w:ascii="Arial" w:hAnsi="Arial" w:cs="Arial"/>
                <w:szCs w:val="20"/>
                <w:lang w:eastAsia="en-US"/>
              </w:rPr>
              <w:t xml:space="preserve">The council reviews the fees and charges in relation to HMO licensing to ensure the scheme is operating at a cost neutral position and to consider impacts on HMO landlords generally. The flexible design of the </w:t>
            </w:r>
            <w:r w:rsidR="00097509">
              <w:rPr>
                <w:rFonts w:ascii="Arial" w:hAnsi="Arial" w:cs="Arial"/>
                <w:szCs w:val="20"/>
                <w:lang w:eastAsia="en-US"/>
              </w:rPr>
              <w:t xml:space="preserve">fee structure ensures that changes can be recommended to address any impacts that are identified. </w:t>
            </w:r>
          </w:p>
          <w:p w14:paraId="6B5A55B3" w14:textId="350C187A" w:rsidR="00097509" w:rsidRPr="001F515A" w:rsidRDefault="00097509" w:rsidP="001F515A">
            <w:pPr>
              <w:rPr>
                <w:rFonts w:ascii="Arial" w:hAnsi="Arial" w:cs="Arial"/>
                <w:szCs w:val="20"/>
                <w:lang w:eastAsia="en-US"/>
              </w:rPr>
            </w:pPr>
            <w:r>
              <w:rPr>
                <w:rFonts w:ascii="Arial" w:hAnsi="Arial" w:cs="Arial"/>
                <w:szCs w:val="20"/>
                <w:lang w:eastAsia="en-US"/>
              </w:rPr>
              <w:t xml:space="preserve">Enforcement activity is reviewed in each case by senior officers and by Law and Governance to ensure that the council is being fair, consistent and proportionate in its responses as well as acting in the public interest. </w:t>
            </w:r>
          </w:p>
          <w:p w14:paraId="1E9A92D0" w14:textId="77777777" w:rsidR="001F515A" w:rsidRPr="001F515A" w:rsidRDefault="001F515A" w:rsidP="008878A1">
            <w:pPr>
              <w:rPr>
                <w:rFonts w:ascii="Arial" w:hAnsi="Arial" w:cs="Arial"/>
                <w:b/>
                <w:szCs w:val="20"/>
                <w:lang w:eastAsia="en-US"/>
              </w:rPr>
            </w:pPr>
          </w:p>
        </w:tc>
      </w:tr>
      <w:tr w:rsidR="001F515A" w:rsidRPr="001F515A" w14:paraId="1E9A92D4" w14:textId="77777777" w:rsidTr="00ED20C9">
        <w:tc>
          <w:tcPr>
            <w:tcW w:w="4219" w:type="dxa"/>
            <w:gridSpan w:val="4"/>
          </w:tcPr>
          <w:p w14:paraId="1E9A92D2" w14:textId="714BCB87" w:rsidR="001F515A" w:rsidRPr="001F515A" w:rsidRDefault="001F515A" w:rsidP="007C3638">
            <w:pPr>
              <w:rPr>
                <w:rFonts w:ascii="Arial" w:hAnsi="Arial" w:cs="Arial"/>
                <w:szCs w:val="20"/>
                <w:lang w:eastAsia="en-US"/>
              </w:rPr>
            </w:pPr>
            <w:r w:rsidRPr="001F515A">
              <w:rPr>
                <w:rFonts w:ascii="Arial" w:hAnsi="Arial" w:cs="Arial"/>
                <w:b/>
                <w:szCs w:val="20"/>
                <w:lang w:eastAsia="en-US"/>
              </w:rPr>
              <w:lastRenderedPageBreak/>
              <w:t xml:space="preserve">7. Date reported and signed off by </w:t>
            </w:r>
            <w:r w:rsidR="007C3638">
              <w:rPr>
                <w:rFonts w:ascii="Arial" w:hAnsi="Arial" w:cs="Arial"/>
                <w:b/>
                <w:szCs w:val="20"/>
                <w:lang w:eastAsia="en-US"/>
              </w:rPr>
              <w:t>Cabinet</w:t>
            </w:r>
            <w:r w:rsidRPr="001F515A">
              <w:rPr>
                <w:rFonts w:ascii="Arial" w:hAnsi="Arial" w:cs="Arial"/>
                <w:b/>
                <w:szCs w:val="20"/>
                <w:lang w:eastAsia="en-US"/>
              </w:rPr>
              <w:t xml:space="preserve">: </w:t>
            </w:r>
          </w:p>
        </w:tc>
        <w:tc>
          <w:tcPr>
            <w:tcW w:w="10915" w:type="dxa"/>
            <w:gridSpan w:val="8"/>
          </w:tcPr>
          <w:p w14:paraId="1E9A92D3" w14:textId="77777777" w:rsidR="001F515A" w:rsidRPr="001F515A" w:rsidRDefault="001F515A" w:rsidP="00760DAE">
            <w:pPr>
              <w:rPr>
                <w:rFonts w:ascii="Arial" w:hAnsi="Arial" w:cs="Arial"/>
                <w:szCs w:val="20"/>
                <w:lang w:eastAsia="en-US"/>
              </w:rPr>
            </w:pPr>
          </w:p>
        </w:tc>
      </w:tr>
      <w:tr w:rsidR="001F515A" w:rsidRPr="001F515A" w14:paraId="1E9A92D9" w14:textId="77777777" w:rsidTr="00ED20C9">
        <w:trPr>
          <w:trHeight w:val="782"/>
        </w:trPr>
        <w:tc>
          <w:tcPr>
            <w:tcW w:w="4219" w:type="dxa"/>
            <w:gridSpan w:val="4"/>
          </w:tcPr>
          <w:p w14:paraId="1E9A92D5" w14:textId="77777777"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14:paraId="1E9A92D6" w14:textId="77777777" w:rsidR="001F515A" w:rsidRPr="001F515A" w:rsidRDefault="001F515A" w:rsidP="001F515A">
            <w:pPr>
              <w:rPr>
                <w:rFonts w:ascii="Arial" w:hAnsi="Arial" w:cs="Arial"/>
                <w:szCs w:val="20"/>
                <w:lang w:eastAsia="en-US"/>
              </w:rPr>
            </w:pPr>
          </w:p>
          <w:p w14:paraId="1E9A92D7" w14:textId="77777777"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915" w:type="dxa"/>
            <w:gridSpan w:val="8"/>
          </w:tcPr>
          <w:p w14:paraId="1E9A92D8" w14:textId="77777777" w:rsidR="003C118C" w:rsidRPr="001F515A" w:rsidRDefault="003C118C" w:rsidP="0006524C">
            <w:pPr>
              <w:rPr>
                <w:rFonts w:ascii="Arial" w:hAnsi="Arial" w:cs="Arial"/>
                <w:b/>
                <w:szCs w:val="20"/>
                <w:lang w:eastAsia="en-US"/>
              </w:rPr>
            </w:pPr>
          </w:p>
        </w:tc>
      </w:tr>
      <w:tr w:rsidR="00ED20C9" w:rsidRPr="001F515A" w14:paraId="1E9A92E1" w14:textId="77777777" w:rsidTr="00ED20C9">
        <w:trPr>
          <w:trHeight w:val="1000"/>
        </w:trPr>
        <w:tc>
          <w:tcPr>
            <w:tcW w:w="3369" w:type="dxa"/>
            <w:gridSpan w:val="3"/>
            <w:vAlign w:val="center"/>
          </w:tcPr>
          <w:p w14:paraId="1E9A92DA" w14:textId="77777777"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959" w:type="dxa"/>
            <w:gridSpan w:val="2"/>
            <w:vAlign w:val="center"/>
          </w:tcPr>
          <w:p w14:paraId="1E9A92DB" w14:textId="77777777" w:rsidR="00ED20C9" w:rsidRPr="001F515A" w:rsidRDefault="00ED20C9" w:rsidP="001F515A">
            <w:pPr>
              <w:jc w:val="center"/>
              <w:rPr>
                <w:rFonts w:ascii="Arial" w:hAnsi="Arial" w:cs="Arial"/>
                <w:bCs/>
                <w:szCs w:val="20"/>
                <w:lang w:eastAsia="en-US"/>
              </w:rPr>
            </w:pPr>
            <w:r w:rsidRPr="00ED20C9">
              <w:rPr>
                <w:rFonts w:ascii="Arial" w:hAnsi="Arial" w:cs="Arial"/>
                <w:bCs/>
                <w:szCs w:val="20"/>
                <w:lang w:eastAsia="en-US"/>
              </w:rPr>
              <w:t>YES</w:t>
            </w:r>
            <w:r w:rsidR="0006524C">
              <w:rPr>
                <w:rFonts w:ascii="Arial" w:hAnsi="Arial" w:cs="Arial"/>
                <w:bCs/>
                <w:szCs w:val="20"/>
                <w:lang w:eastAsia="en-US"/>
              </w:rPr>
              <w:t>/NO</w:t>
            </w:r>
          </w:p>
        </w:tc>
        <w:tc>
          <w:tcPr>
            <w:tcW w:w="3180" w:type="dxa"/>
            <w:gridSpan w:val="3"/>
            <w:vAlign w:val="center"/>
          </w:tcPr>
          <w:p w14:paraId="1E9A92DC" w14:textId="77777777"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14:paraId="1E9A92DD" w14:textId="77777777" w:rsidR="00ED20C9" w:rsidRPr="001F515A" w:rsidRDefault="00ED20C9" w:rsidP="00760DAE">
            <w:pPr>
              <w:rPr>
                <w:rFonts w:ascii="Arial" w:hAnsi="Arial" w:cs="Arial"/>
                <w:szCs w:val="20"/>
                <w:lang w:eastAsia="en-US"/>
              </w:rPr>
            </w:pPr>
          </w:p>
        </w:tc>
        <w:tc>
          <w:tcPr>
            <w:tcW w:w="2409" w:type="dxa"/>
            <w:vAlign w:val="center"/>
          </w:tcPr>
          <w:p w14:paraId="1E9A92DE" w14:textId="77777777"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w:t>
            </w:r>
            <w:r w:rsidR="00D40A0A">
              <w:rPr>
                <w:rFonts w:ascii="Arial" w:hAnsi="Arial"/>
                <w:b/>
                <w:bCs/>
                <w:szCs w:val="20"/>
                <w:lang w:eastAsia="en-US"/>
              </w:rPr>
              <w:t xml:space="preserve">ities Lead Officer </w:t>
            </w:r>
          </w:p>
          <w:p w14:paraId="1E9A92DF" w14:textId="77777777" w:rsidR="00ED20C9" w:rsidRPr="001F515A" w:rsidRDefault="00ED20C9" w:rsidP="001F515A">
            <w:pPr>
              <w:rPr>
                <w:rFonts w:ascii="Arial" w:hAnsi="Arial" w:cs="Arial"/>
                <w:b/>
                <w:szCs w:val="20"/>
                <w:lang w:eastAsia="en-US"/>
              </w:rPr>
            </w:pPr>
          </w:p>
        </w:tc>
        <w:tc>
          <w:tcPr>
            <w:tcW w:w="1418" w:type="dxa"/>
            <w:vAlign w:val="center"/>
          </w:tcPr>
          <w:p w14:paraId="1E9A92E0" w14:textId="77777777" w:rsidR="00ED20C9" w:rsidRPr="001F515A" w:rsidRDefault="00ED20C9" w:rsidP="001F515A">
            <w:pPr>
              <w:rPr>
                <w:rFonts w:ascii="Arial" w:hAnsi="Arial" w:cs="Arial"/>
                <w:szCs w:val="20"/>
                <w:lang w:eastAsia="en-US"/>
              </w:rPr>
            </w:pPr>
          </w:p>
        </w:tc>
      </w:tr>
      <w:tr w:rsidR="00ED20C9" w:rsidRPr="001F515A" w14:paraId="1E9A92E8" w14:textId="77777777" w:rsidTr="00ED20C9">
        <w:trPr>
          <w:trHeight w:val="1000"/>
        </w:trPr>
        <w:tc>
          <w:tcPr>
            <w:tcW w:w="3369" w:type="dxa"/>
            <w:gridSpan w:val="3"/>
            <w:vAlign w:val="center"/>
          </w:tcPr>
          <w:p w14:paraId="1E9A92E2" w14:textId="4A2FE5BF" w:rsidR="00ED20C9" w:rsidRPr="001F515A" w:rsidRDefault="00ED20C9" w:rsidP="005410C7">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 xml:space="preserve">13. Date reported to Scrutiny and </w:t>
            </w:r>
            <w:r w:rsidR="005410C7">
              <w:rPr>
                <w:rFonts w:ascii="Arial" w:hAnsi="Arial" w:cs="Arial"/>
                <w:b/>
                <w:bCs/>
                <w:szCs w:val="20"/>
                <w:lang w:eastAsia="en-US"/>
              </w:rPr>
              <w:t>Cabinet</w:t>
            </w:r>
          </w:p>
        </w:tc>
        <w:tc>
          <w:tcPr>
            <w:tcW w:w="1959" w:type="dxa"/>
            <w:gridSpan w:val="2"/>
            <w:vAlign w:val="center"/>
          </w:tcPr>
          <w:p w14:paraId="1E9A92E3" w14:textId="77777777" w:rsidR="00ED20C9" w:rsidRPr="001F515A" w:rsidRDefault="00ED20C9" w:rsidP="001F515A">
            <w:pPr>
              <w:jc w:val="center"/>
              <w:rPr>
                <w:rFonts w:ascii="Arial" w:hAnsi="Arial" w:cs="Arial"/>
                <w:b/>
                <w:szCs w:val="20"/>
                <w:lang w:eastAsia="en-US"/>
              </w:rPr>
            </w:pPr>
          </w:p>
        </w:tc>
        <w:tc>
          <w:tcPr>
            <w:tcW w:w="3180" w:type="dxa"/>
            <w:gridSpan w:val="3"/>
            <w:vAlign w:val="center"/>
          </w:tcPr>
          <w:p w14:paraId="1E9A92E4" w14:textId="2042FAC3" w:rsidR="00ED20C9" w:rsidRPr="001F515A" w:rsidRDefault="00ED20C9" w:rsidP="005410C7">
            <w:pPr>
              <w:rPr>
                <w:rFonts w:ascii="Arial" w:hAnsi="Arial" w:cs="Arial"/>
                <w:b/>
                <w:bCs/>
                <w:szCs w:val="20"/>
                <w:lang w:eastAsia="en-US"/>
              </w:rPr>
            </w:pPr>
            <w:r w:rsidRPr="001F515A">
              <w:rPr>
                <w:rFonts w:ascii="Arial" w:hAnsi="Arial" w:cs="Arial"/>
                <w:b/>
                <w:szCs w:val="20"/>
                <w:lang w:eastAsia="en-US"/>
              </w:rPr>
              <w:t xml:space="preserve">14. Date reported to </w:t>
            </w:r>
            <w:r w:rsidR="005410C7">
              <w:rPr>
                <w:rFonts w:ascii="Arial" w:hAnsi="Arial" w:cs="Arial"/>
                <w:b/>
                <w:szCs w:val="20"/>
                <w:lang w:eastAsia="en-US"/>
              </w:rPr>
              <w:t>Cabinet</w:t>
            </w:r>
          </w:p>
        </w:tc>
        <w:tc>
          <w:tcPr>
            <w:tcW w:w="2799" w:type="dxa"/>
            <w:gridSpan w:val="2"/>
            <w:vAlign w:val="center"/>
          </w:tcPr>
          <w:p w14:paraId="1E9A92E5" w14:textId="77777777" w:rsidR="00ED20C9" w:rsidRPr="001F515A" w:rsidRDefault="00ED20C9" w:rsidP="00760DAE">
            <w:pPr>
              <w:rPr>
                <w:rFonts w:ascii="Arial" w:hAnsi="Arial" w:cs="Arial"/>
                <w:szCs w:val="20"/>
                <w:lang w:eastAsia="en-US"/>
              </w:rPr>
            </w:pPr>
          </w:p>
        </w:tc>
        <w:tc>
          <w:tcPr>
            <w:tcW w:w="2409" w:type="dxa"/>
            <w:vAlign w:val="center"/>
          </w:tcPr>
          <w:p w14:paraId="1E9A92E6" w14:textId="77777777" w:rsidR="00ED20C9" w:rsidRPr="001F515A" w:rsidRDefault="00ED20C9"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14:paraId="1E9A92E7" w14:textId="77777777" w:rsidR="00ED20C9" w:rsidRPr="001F515A" w:rsidRDefault="00ED20C9" w:rsidP="00760DAE">
            <w:pPr>
              <w:rPr>
                <w:rFonts w:ascii="Arial" w:hAnsi="Arial" w:cs="Arial"/>
                <w:szCs w:val="20"/>
                <w:lang w:eastAsia="en-US"/>
              </w:rPr>
            </w:pPr>
          </w:p>
        </w:tc>
      </w:tr>
    </w:tbl>
    <w:p w14:paraId="1E9A92E9" w14:textId="77777777" w:rsidR="001F515A" w:rsidRPr="001F515A" w:rsidRDefault="001F515A" w:rsidP="001F515A">
      <w:pPr>
        <w:rPr>
          <w:rFonts w:ascii="Arial" w:hAnsi="Arial" w:cs="Arial"/>
          <w:szCs w:val="20"/>
          <w:lang w:eastAsia="en-US"/>
        </w:rPr>
      </w:pPr>
    </w:p>
    <w:p w14:paraId="1E9A92EA"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14:paraId="1E9A92EB" w14:textId="77777777" w:rsidR="001F515A" w:rsidRPr="001F515A" w:rsidRDefault="001F515A" w:rsidP="001F515A">
      <w:pPr>
        <w:rPr>
          <w:rFonts w:ascii="Arial" w:hAnsi="Arial" w:cs="Arial"/>
          <w:szCs w:val="20"/>
          <w:lang w:eastAsia="en-US"/>
        </w:rPr>
      </w:pPr>
    </w:p>
    <w:p w14:paraId="1E9A92EC" w14:textId="77777777"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14:paraId="1E9A92ED" w14:textId="77777777" w:rsidR="001F515A" w:rsidRPr="001F515A" w:rsidRDefault="001F515A" w:rsidP="001F515A">
      <w:pPr>
        <w:rPr>
          <w:rFonts w:ascii="Arial" w:hAnsi="Arial" w:cs="Arial"/>
          <w:szCs w:val="20"/>
          <w:lang w:eastAsia="en-US"/>
        </w:rPr>
      </w:pPr>
    </w:p>
    <w:p w14:paraId="1E9A92EE" w14:textId="77777777" w:rsidR="001F515A" w:rsidRPr="00A5175C" w:rsidRDefault="00D40A0A" w:rsidP="001F515A">
      <w:pPr>
        <w:rPr>
          <w:rFonts w:ascii="Arial" w:hAnsi="Arial" w:cs="Arial"/>
          <w:szCs w:val="20"/>
          <w:lang w:eastAsia="en-US"/>
        </w:rPr>
      </w:pPr>
      <w:r>
        <w:rPr>
          <w:rFonts w:ascii="Arial" w:hAnsi="Arial" w:cs="Arial"/>
          <w:szCs w:val="20"/>
          <w:lang w:eastAsia="en-US"/>
        </w:rPr>
        <w:t>Equalities Lead Officer</w:t>
      </w:r>
    </w:p>
    <w:p w14:paraId="1E9A92EF" w14:textId="77777777" w:rsidR="001F515A" w:rsidRPr="00A5175C" w:rsidRDefault="00A5175C" w:rsidP="00B21479">
      <w:pPr>
        <w:rPr>
          <w:rFonts w:ascii="Arial" w:hAnsi="Arial" w:cs="Arial"/>
          <w:szCs w:val="20"/>
          <w:lang w:eastAsia="en-US"/>
        </w:rPr>
      </w:pPr>
      <w:r w:rsidRPr="00A5175C">
        <w:rPr>
          <w:rFonts w:ascii="Arial" w:hAnsi="Arial" w:cs="Arial"/>
          <w:szCs w:val="20"/>
          <w:lang w:eastAsia="en-US"/>
        </w:rPr>
        <w:t>S</w:t>
      </w:r>
      <w:r w:rsidR="00817AC6" w:rsidRPr="00A5175C">
        <w:rPr>
          <w:rFonts w:ascii="Arial" w:hAnsi="Arial" w:cs="Arial"/>
          <w:szCs w:val="20"/>
          <w:lang w:eastAsia="en-US"/>
        </w:rPr>
        <w:t xml:space="preserve">ervice </w:t>
      </w:r>
      <w:r w:rsidRPr="00A5175C">
        <w:rPr>
          <w:rFonts w:ascii="Arial" w:hAnsi="Arial" w:cs="Arial"/>
          <w:szCs w:val="20"/>
          <w:lang w:eastAsia="en-US"/>
        </w:rPr>
        <w:t>M</w:t>
      </w:r>
      <w:r w:rsidR="00817AC6" w:rsidRPr="00A5175C">
        <w:rPr>
          <w:rFonts w:ascii="Arial" w:hAnsi="Arial" w:cs="Arial"/>
          <w:szCs w:val="20"/>
          <w:lang w:eastAsia="en-US"/>
        </w:rPr>
        <w:t>anager</w:t>
      </w:r>
    </w:p>
    <w:p w14:paraId="1E9A92F0" w14:textId="04E77028" w:rsidR="00817AC6" w:rsidRPr="00A5175C" w:rsidRDefault="003C118C" w:rsidP="00B21479">
      <w:pPr>
        <w:rPr>
          <w:rFonts w:ascii="Arial" w:hAnsi="Arial" w:cs="Arial"/>
          <w:szCs w:val="20"/>
          <w:lang w:eastAsia="en-US"/>
        </w:rPr>
      </w:pPr>
      <w:r>
        <w:rPr>
          <w:rFonts w:ascii="Arial" w:hAnsi="Arial" w:cs="Arial"/>
          <w:szCs w:val="20"/>
          <w:lang w:eastAsia="en-US"/>
        </w:rPr>
        <w:t>Legal Services</w:t>
      </w:r>
      <w:r w:rsidR="009138E4">
        <w:rPr>
          <w:rFonts w:ascii="Arial" w:hAnsi="Arial" w:cs="Arial"/>
          <w:szCs w:val="20"/>
          <w:lang w:eastAsia="en-US"/>
        </w:rPr>
        <w:t xml:space="preserve"> Manager</w:t>
      </w:r>
    </w:p>
    <w:p w14:paraId="1E9A92F1" w14:textId="77777777" w:rsidR="00817AC6" w:rsidRDefault="00817AC6" w:rsidP="00B21479"/>
    <w:p w14:paraId="1E9A92F2" w14:textId="77777777" w:rsidR="00C521F6" w:rsidRPr="003814CE" w:rsidRDefault="00C521F6" w:rsidP="00C521F6">
      <w:pPr>
        <w:ind w:left="426" w:hanging="426"/>
        <w:rPr>
          <w:b/>
        </w:rPr>
      </w:pPr>
      <w:r w:rsidRPr="003814CE">
        <w:rPr>
          <w:b/>
        </w:rPr>
        <w:br/>
      </w:r>
    </w:p>
    <w:p w14:paraId="1E9A92F3" w14:textId="77777777" w:rsidR="00B21479" w:rsidRPr="008A22C6" w:rsidRDefault="00B21479" w:rsidP="00B21479"/>
    <w:sectPr w:rsidR="00B21479" w:rsidRPr="008A22C6" w:rsidSect="001F515A">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A92F9" w14:textId="77777777" w:rsidR="007F6D43" w:rsidRDefault="007F6D43" w:rsidP="00B21479">
      <w:r>
        <w:separator/>
      </w:r>
    </w:p>
  </w:endnote>
  <w:endnote w:type="continuationSeparator" w:id="0">
    <w:p w14:paraId="1E9A92FA" w14:textId="77777777" w:rsidR="007F6D43" w:rsidRDefault="007F6D43"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03214" w14:textId="77777777" w:rsidR="00087625" w:rsidRDefault="00087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92FE" w14:textId="77777777"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1F515A">
      <w:rPr>
        <w:rFonts w:ascii="Arial" w:hAnsi="Arial" w:cs="Arial"/>
        <w:sz w:val="20"/>
        <w:szCs w:val="20"/>
      </w:rPr>
      <w:t>028   Version: v1.0</w:t>
    </w:r>
    <w:r w:rsidRPr="000B0D2A">
      <w:rPr>
        <w:rFonts w:ascii="Arial" w:hAnsi="Arial" w:cs="Arial"/>
        <w:sz w:val="20"/>
        <w:szCs w:val="20"/>
      </w:rPr>
      <w:t xml:space="preserve">    Dated: </w:t>
    </w:r>
    <w:r w:rsidR="001F515A">
      <w:rPr>
        <w:rFonts w:ascii="Arial" w:hAnsi="Arial" w:cs="Arial"/>
        <w:sz w:val="20"/>
        <w:szCs w:val="20"/>
      </w:rPr>
      <w:t>08/08/14</w:t>
    </w:r>
    <w:r w:rsidR="001F515A">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087625">
      <w:rPr>
        <w:rFonts w:ascii="Arial" w:hAnsi="Arial" w:cs="Arial"/>
        <w:b/>
        <w:bCs/>
        <w:noProof/>
        <w:sz w:val="20"/>
        <w:szCs w:val="20"/>
      </w:rPr>
      <w:t>4</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087625">
      <w:rPr>
        <w:rFonts w:ascii="Arial" w:hAnsi="Arial" w:cs="Arial"/>
        <w:b/>
        <w:bCs/>
        <w:noProof/>
        <w:sz w:val="20"/>
        <w:szCs w:val="20"/>
      </w:rPr>
      <w:t>4</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77DE9" w14:textId="77777777" w:rsidR="00087625" w:rsidRDefault="00087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A92F7" w14:textId="77777777" w:rsidR="007F6D43" w:rsidRDefault="007F6D43" w:rsidP="00B21479">
      <w:r>
        <w:separator/>
      </w:r>
    </w:p>
  </w:footnote>
  <w:footnote w:type="continuationSeparator" w:id="0">
    <w:p w14:paraId="1E9A92F8" w14:textId="77777777" w:rsidR="007F6D43" w:rsidRDefault="007F6D43"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C75E" w14:textId="77777777" w:rsidR="00087625" w:rsidRDefault="00087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9449E" w14:textId="5148CE85" w:rsidR="00087625" w:rsidRPr="00087625" w:rsidRDefault="00087625">
    <w:pPr>
      <w:pStyle w:val="Header"/>
      <w:rPr>
        <w:rFonts w:ascii="Arial" w:hAnsi="Arial" w:cs="Arial"/>
        <w:sz w:val="48"/>
        <w:szCs w:val="48"/>
      </w:rPr>
    </w:pP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bookmarkStart w:id="0" w:name="_GoBack"/>
    <w:bookmarkEnd w:id="0"/>
    <w:r w:rsidRPr="00087625">
      <w:rPr>
        <w:rFonts w:ascii="Arial" w:hAnsi="Arial" w:cs="Arial"/>
        <w:sz w:val="48"/>
        <w:szCs w:val="48"/>
      </w:rPr>
      <w:t>Appendix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87930" w14:textId="77777777" w:rsidR="00087625" w:rsidRDefault="00087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3B"/>
    <w:rsid w:val="00041903"/>
    <w:rsid w:val="0006524C"/>
    <w:rsid w:val="00080850"/>
    <w:rsid w:val="000864FA"/>
    <w:rsid w:val="00087625"/>
    <w:rsid w:val="00097509"/>
    <w:rsid w:val="000B0D2A"/>
    <w:rsid w:val="000B4310"/>
    <w:rsid w:val="000F3BAB"/>
    <w:rsid w:val="00111DE0"/>
    <w:rsid w:val="00120373"/>
    <w:rsid w:val="00142786"/>
    <w:rsid w:val="00153E45"/>
    <w:rsid w:val="001F0E7F"/>
    <w:rsid w:val="001F515A"/>
    <w:rsid w:val="00215A4A"/>
    <w:rsid w:val="0023354C"/>
    <w:rsid w:val="00235F04"/>
    <w:rsid w:val="00262814"/>
    <w:rsid w:val="002C293A"/>
    <w:rsid w:val="002D3056"/>
    <w:rsid w:val="00350A6B"/>
    <w:rsid w:val="00376912"/>
    <w:rsid w:val="003C118C"/>
    <w:rsid w:val="004000D7"/>
    <w:rsid w:val="00475E86"/>
    <w:rsid w:val="004A0B51"/>
    <w:rsid w:val="00504E43"/>
    <w:rsid w:val="00511A5C"/>
    <w:rsid w:val="005129A5"/>
    <w:rsid w:val="0054009D"/>
    <w:rsid w:val="005410C7"/>
    <w:rsid w:val="005448C4"/>
    <w:rsid w:val="005973F9"/>
    <w:rsid w:val="005E2614"/>
    <w:rsid w:val="00657158"/>
    <w:rsid w:val="007070ED"/>
    <w:rsid w:val="00760DAE"/>
    <w:rsid w:val="007869C7"/>
    <w:rsid w:val="007908F4"/>
    <w:rsid w:val="007974F6"/>
    <w:rsid w:val="007B0DE3"/>
    <w:rsid w:val="007C3638"/>
    <w:rsid w:val="007F6D43"/>
    <w:rsid w:val="0080343B"/>
    <w:rsid w:val="008117F2"/>
    <w:rsid w:val="00817AC6"/>
    <w:rsid w:val="00880CE5"/>
    <w:rsid w:val="008878A1"/>
    <w:rsid w:val="008A22C6"/>
    <w:rsid w:val="009138E4"/>
    <w:rsid w:val="0091443D"/>
    <w:rsid w:val="009344AE"/>
    <w:rsid w:val="00944A56"/>
    <w:rsid w:val="00963B3C"/>
    <w:rsid w:val="0096520F"/>
    <w:rsid w:val="00983205"/>
    <w:rsid w:val="009B4AC3"/>
    <w:rsid w:val="009D57BC"/>
    <w:rsid w:val="009F00B3"/>
    <w:rsid w:val="00A16355"/>
    <w:rsid w:val="00A5175C"/>
    <w:rsid w:val="00AC2E87"/>
    <w:rsid w:val="00AE7473"/>
    <w:rsid w:val="00AF3669"/>
    <w:rsid w:val="00AF44D6"/>
    <w:rsid w:val="00B21479"/>
    <w:rsid w:val="00B51D02"/>
    <w:rsid w:val="00BC5611"/>
    <w:rsid w:val="00C07F80"/>
    <w:rsid w:val="00C11DF7"/>
    <w:rsid w:val="00C521F6"/>
    <w:rsid w:val="00C54136"/>
    <w:rsid w:val="00C82A08"/>
    <w:rsid w:val="00CE1DAB"/>
    <w:rsid w:val="00CE7E7C"/>
    <w:rsid w:val="00CF210D"/>
    <w:rsid w:val="00D40A0A"/>
    <w:rsid w:val="00D55026"/>
    <w:rsid w:val="00DA4417"/>
    <w:rsid w:val="00E411FE"/>
    <w:rsid w:val="00E44635"/>
    <w:rsid w:val="00E57103"/>
    <w:rsid w:val="00ED20C9"/>
    <w:rsid w:val="00F05530"/>
    <w:rsid w:val="00F849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9A9260"/>
  <w15:docId w15:val="{7401C03A-9EC4-4A97-B4C2-20DD4D3C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1921-CB16-4090-B617-15A04DCA790C}">
  <ds:schemaRefs>
    <ds:schemaRef ds:uri="http://schemas.microsoft.com/sharepoint/v3/contenttype/forms"/>
  </ds:schemaRefs>
</ds:datastoreItem>
</file>

<file path=customXml/itemProps2.xml><?xml version="1.0" encoding="utf-8"?>
<ds:datastoreItem xmlns:ds="http://schemas.openxmlformats.org/officeDocument/2006/customXml" ds:itemID="{35053B04-02CB-435C-A3F4-6E81D45CB5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b8f1d2-729e-4e17-b922-d1876d49c6d9"/>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C213077-0FCB-4FA5-9B85-8E71A81C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A4704-A2C9-4E60-831F-C109B984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118</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MITCHELL John</cp:lastModifiedBy>
  <cp:revision>8</cp:revision>
  <dcterms:created xsi:type="dcterms:W3CDTF">2020-04-06T09:14:00Z</dcterms:created>
  <dcterms:modified xsi:type="dcterms:W3CDTF">2020-08-14T09:07:00Z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